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00" w:rsidRDefault="00862700">
      <w:pPr>
        <w:pStyle w:val="Standard"/>
      </w:pPr>
    </w:p>
    <w:p w:rsidR="00886041" w:rsidRDefault="00886041" w:rsidP="00886041">
      <w:pPr>
        <w:jc w:val="both"/>
        <w:rPr>
          <w:rFonts w:ascii="Tahoma" w:hAnsi="Tahoma" w:cs="Tahoma"/>
        </w:rPr>
      </w:pPr>
    </w:p>
    <w:p w:rsidR="00862700" w:rsidRDefault="005E2C24">
      <w:pPr>
        <w:pStyle w:val="Standard"/>
      </w:pPr>
      <w:r>
        <w:rPr>
          <w:rFonts w:ascii="Tahoma" w:hAnsi="Tahoma" w:cs="Tahoma"/>
          <w:b/>
        </w:rPr>
        <w:t>Impact des mesures sur les profs d’école</w:t>
      </w:r>
    </w:p>
    <w:p w:rsidR="00862700" w:rsidRDefault="00862700">
      <w:pPr>
        <w:pStyle w:val="Standard"/>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09"/>
        <w:gridCol w:w="318"/>
        <w:gridCol w:w="937"/>
        <w:gridCol w:w="1641"/>
        <w:gridCol w:w="2137"/>
        <w:gridCol w:w="1397"/>
      </w:tblGrid>
      <w:tr w:rsidR="00862700">
        <w:trPr>
          <w:trHeight w:val="2400"/>
        </w:trPr>
        <w:tc>
          <w:tcPr>
            <w:tcW w:w="1209"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Echelon PE</w:t>
            </w:r>
          </w:p>
        </w:tc>
        <w:tc>
          <w:tcPr>
            <w:tcW w:w="1255" w:type="dxa"/>
            <w:gridSpan w:val="2"/>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Baisse 2015  cotisation retraite Lebranchu</w:t>
            </w:r>
          </w:p>
        </w:tc>
        <w:tc>
          <w:tcPr>
            <w:tcW w:w="1641"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Hausse 2015 due aux réformes des retraites 2010 et 2014</w:t>
            </w:r>
          </w:p>
        </w:tc>
        <w:tc>
          <w:tcPr>
            <w:tcW w:w="2136"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Evolution globale 2015 salaires/cotisations retraites</w:t>
            </w:r>
          </w:p>
        </w:tc>
        <w:tc>
          <w:tcPr>
            <w:tcW w:w="1397"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rsidP="00190832">
            <w:pPr>
              <w:pStyle w:val="Standard"/>
              <w:jc w:val="center"/>
            </w:pPr>
            <w:r>
              <w:rPr>
                <w:rFonts w:ascii="Tahoma" w:eastAsia="Times New Roman" w:hAnsi="Tahoma" w:cs="Tahoma"/>
                <w:color w:val="000000"/>
              </w:rPr>
              <w:t>Gain/perte entre le 31 décembre 2014 et le 1</w:t>
            </w:r>
            <w:r w:rsidR="00190832">
              <w:rPr>
                <w:rFonts w:ascii="Tahoma" w:hAnsi="Tahoma" w:cs="Tahoma"/>
                <w:vertAlign w:val="superscript"/>
              </w:rPr>
              <w:t>er</w:t>
            </w:r>
            <w:r>
              <w:rPr>
                <w:rFonts w:ascii="Tahoma" w:eastAsia="Times New Roman" w:hAnsi="Tahoma" w:cs="Tahoma"/>
                <w:color w:val="000000"/>
              </w:rPr>
              <w:t xml:space="preserve"> janvier 2015 sur le salaire annuel</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- 1,4%</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+1%</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+193,92</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2</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+0,6%</w:t>
            </w:r>
          </w:p>
        </w:tc>
        <w:tc>
          <w:tcPr>
            <w:tcW w:w="1397" w:type="dxa"/>
            <w:tcBorders>
              <w:top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+125,35</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3</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- 0,6%</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+0,2%</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+48,01</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4</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- 0,5%</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+0,1%</w:t>
            </w:r>
          </w:p>
        </w:tc>
        <w:tc>
          <w:tcPr>
            <w:tcW w:w="1397" w:type="dxa"/>
            <w:tcBorders>
              <w:top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+24,73</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5</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- 0,2%</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-0,2%</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-50,90</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6</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-103,79</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7</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-110,02</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8</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-118,02</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9</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-126,02</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10</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-136,02</w:t>
            </w:r>
          </w:p>
        </w:tc>
      </w:tr>
      <w:tr w:rsidR="00862700">
        <w:trPr>
          <w:trHeight w:val="32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11</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-146,24</w:t>
            </w:r>
          </w:p>
        </w:tc>
      </w:tr>
      <w:tr w:rsidR="00CB12BA">
        <w:trPr>
          <w:trHeight w:val="32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B12BA" w:rsidRDefault="00CB12BA">
            <w:pPr>
              <w:pStyle w:val="Standard"/>
              <w:jc w:val="center"/>
              <w:rPr>
                <w:rFonts w:ascii="Tahoma" w:eastAsia="Times New Roman" w:hAnsi="Tahoma" w:cs="Tahoma"/>
                <w:b/>
                <w:bCs/>
                <w:color w:val="000000"/>
              </w:rPr>
            </w:pP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CB12BA" w:rsidRDefault="00CB12BA">
            <w:pPr>
              <w:pStyle w:val="Standard"/>
              <w:jc w:val="center"/>
              <w:rPr>
                <w:rFonts w:ascii="Tahoma" w:eastAsia="Times New Roman" w:hAnsi="Tahoma" w:cs="Tahoma"/>
                <w:color w:val="000000"/>
              </w:rPr>
            </w:pP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CB12BA" w:rsidRDefault="00CB12BA">
            <w:pPr>
              <w:pStyle w:val="Standard"/>
              <w:jc w:val="center"/>
              <w:rPr>
                <w:rFonts w:ascii="Tahoma" w:eastAsia="Times New Roman" w:hAnsi="Tahoma" w:cs="Tahoma"/>
                <w:color w:val="000000"/>
              </w:rPr>
            </w:pP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CB12BA" w:rsidRDefault="00CB12BA">
            <w:pPr>
              <w:pStyle w:val="Standard"/>
              <w:jc w:val="center"/>
              <w:rPr>
                <w:rFonts w:ascii="Tahoma" w:eastAsia="Times New Roman" w:hAnsi="Tahoma" w:cs="Tahoma"/>
                <w:color w:val="000000"/>
              </w:rPr>
            </w:pPr>
          </w:p>
        </w:tc>
        <w:tc>
          <w:tcPr>
            <w:tcW w:w="139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B12BA" w:rsidRDefault="00CB12BA">
            <w:pPr>
              <w:pStyle w:val="Standard"/>
              <w:jc w:val="center"/>
              <w:rPr>
                <w:rFonts w:ascii="Tahoma" w:eastAsia="Times New Roman" w:hAnsi="Tahoma" w:cs="Tahoma"/>
                <w:b/>
                <w:bCs/>
                <w:color w:val="FF0000"/>
              </w:rPr>
            </w:pPr>
          </w:p>
        </w:tc>
      </w:tr>
      <w:tr w:rsidR="00862700">
        <w:trPr>
          <w:trHeight w:val="320"/>
        </w:trPr>
        <w:tc>
          <w:tcPr>
            <w:tcW w:w="1527" w:type="dxa"/>
            <w:gridSpan w:val="2"/>
            <w:shd w:val="clear" w:color="auto" w:fill="FFFFFF"/>
            <w:tcMar>
              <w:top w:w="0" w:type="dxa"/>
              <w:left w:w="70" w:type="dxa"/>
              <w:bottom w:w="0" w:type="dxa"/>
              <w:right w:w="70" w:type="dxa"/>
            </w:tcMar>
            <w:vAlign w:val="bottom"/>
          </w:tcPr>
          <w:p w:rsidR="00862700" w:rsidRDefault="00862700">
            <w:pPr>
              <w:pStyle w:val="Standard"/>
            </w:pPr>
          </w:p>
          <w:p w:rsidR="00862700" w:rsidRDefault="005E2C24">
            <w:pPr>
              <w:pStyle w:val="Standard"/>
            </w:pPr>
            <w:r>
              <w:rPr>
                <w:rFonts w:ascii="Tahoma" w:hAnsi="Tahoma" w:cs="Tahoma"/>
                <w:b/>
              </w:rPr>
              <w:t>Impact des mesures sur les instits</w:t>
            </w:r>
          </w:p>
          <w:p w:rsidR="00862700" w:rsidRDefault="00862700">
            <w:pPr>
              <w:pStyle w:val="Standard"/>
            </w:pPr>
          </w:p>
        </w:tc>
        <w:tc>
          <w:tcPr>
            <w:tcW w:w="1528" w:type="dxa"/>
            <w:gridSpan w:val="4"/>
            <w:shd w:val="clear" w:color="auto" w:fill="FFFFFF"/>
            <w:tcMar>
              <w:top w:w="0" w:type="dxa"/>
              <w:left w:w="70" w:type="dxa"/>
              <w:bottom w:w="0" w:type="dxa"/>
              <w:right w:w="70" w:type="dxa"/>
            </w:tcMar>
            <w:vAlign w:val="bottom"/>
          </w:tcPr>
          <w:p w:rsidR="00862700" w:rsidRDefault="00862700">
            <w:pPr>
              <w:pStyle w:val="Standard"/>
            </w:pPr>
          </w:p>
        </w:tc>
      </w:tr>
      <w:tr w:rsidR="00862700">
        <w:trPr>
          <w:trHeight w:val="2400"/>
        </w:trPr>
        <w:tc>
          <w:tcPr>
            <w:tcW w:w="1209"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lastRenderedPageBreak/>
              <w:t>Echelon Instit</w:t>
            </w:r>
          </w:p>
        </w:tc>
        <w:tc>
          <w:tcPr>
            <w:tcW w:w="1255" w:type="dxa"/>
            <w:gridSpan w:val="2"/>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Baisse 2015  cotisation retraite Lebranchu</w:t>
            </w:r>
          </w:p>
        </w:tc>
        <w:tc>
          <w:tcPr>
            <w:tcW w:w="1641"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Hausse 2015 due aux réformes des retraites 2010 et 2014</w:t>
            </w:r>
          </w:p>
        </w:tc>
        <w:tc>
          <w:tcPr>
            <w:tcW w:w="2136"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Evolution globale 2015 salaires/cotisations retraites</w:t>
            </w:r>
          </w:p>
        </w:tc>
        <w:tc>
          <w:tcPr>
            <w:tcW w:w="1397" w:type="dxa"/>
            <w:tcBorders>
              <w:top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190832">
            <w:pPr>
              <w:pStyle w:val="Standard"/>
              <w:jc w:val="center"/>
            </w:pPr>
            <w:r>
              <w:rPr>
                <w:rFonts w:ascii="Tahoma" w:eastAsia="Times New Roman" w:hAnsi="Tahoma" w:cs="Tahoma"/>
                <w:color w:val="000000"/>
              </w:rPr>
              <w:t>Gain/perte entre le 31 décembre 2014 et le 1</w:t>
            </w:r>
            <w:r w:rsidR="00190832">
              <w:rPr>
                <w:rFonts w:ascii="Tahoma" w:hAnsi="Tahoma" w:cs="Tahoma"/>
                <w:vertAlign w:val="superscript"/>
              </w:rPr>
              <w:t>er</w:t>
            </w:r>
            <w:r w:rsidR="00190832">
              <w:rPr>
                <w:rFonts w:ascii="Tahoma" w:eastAsia="Times New Roman" w:hAnsi="Tahoma" w:cs="Tahoma"/>
                <w:color w:val="000000"/>
              </w:rPr>
              <w:t xml:space="preserve"> </w:t>
            </w:r>
            <w:r>
              <w:rPr>
                <w:rFonts w:ascii="Tahoma" w:eastAsia="Times New Roman" w:hAnsi="Tahoma" w:cs="Tahoma"/>
                <w:color w:val="000000"/>
              </w:rPr>
              <w:t xml:space="preserve"> janvier 2015 sur le salaire annuel</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- 1,6%</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+1,2%</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+227,37</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2</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- 1,4%</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+1%</w:t>
            </w:r>
          </w:p>
        </w:tc>
        <w:tc>
          <w:tcPr>
            <w:tcW w:w="1397"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+198,36</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3</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- 1,2%</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+0,8%</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+162,69</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 xml:space="preserve">4 </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+0,6%</w:t>
            </w:r>
          </w:p>
        </w:tc>
        <w:tc>
          <w:tcPr>
            <w:tcW w:w="1397"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+124,35</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5</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- 1%</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+0,6%</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+127,68</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6</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- 0,8%</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+86,68</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7</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- 0,8%</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+88,68</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8</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- 0,7%</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+0,3%</w:t>
            </w:r>
          </w:p>
        </w:tc>
        <w:tc>
          <w:tcPr>
            <w:tcW w:w="1397"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+70,01</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9</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- 0,5%</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+0,1%</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8000"/>
              </w:rPr>
              <w:t>+24,50</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10</w:t>
            </w:r>
          </w:p>
        </w:tc>
        <w:tc>
          <w:tcPr>
            <w:tcW w:w="1255" w:type="dxa"/>
            <w:gridSpan w:val="2"/>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-104,24</w:t>
            </w:r>
          </w:p>
        </w:tc>
      </w:tr>
      <w:tr w:rsidR="00862700">
        <w:trPr>
          <w:trHeight w:val="300"/>
        </w:trPr>
        <w:tc>
          <w:tcPr>
            <w:tcW w:w="120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000000"/>
              </w:rPr>
              <w:t>11</w:t>
            </w:r>
          </w:p>
        </w:tc>
        <w:tc>
          <w:tcPr>
            <w:tcW w:w="1255" w:type="dxa"/>
            <w:gridSpan w:val="2"/>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w:t>
            </w:r>
          </w:p>
        </w:tc>
        <w:tc>
          <w:tcPr>
            <w:tcW w:w="164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+ 0,4%</w:t>
            </w:r>
          </w:p>
        </w:tc>
        <w:tc>
          <w:tcPr>
            <w:tcW w:w="2136"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color w:val="000000"/>
              </w:rPr>
              <w:t>-0,4%</w:t>
            </w:r>
          </w:p>
        </w:tc>
        <w:tc>
          <w:tcPr>
            <w:tcW w:w="139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Tahoma" w:eastAsia="Times New Roman" w:hAnsi="Tahoma" w:cs="Tahoma"/>
                <w:b/>
                <w:bCs/>
                <w:color w:val="FF0000"/>
              </w:rPr>
              <w:t>-114,46</w:t>
            </w:r>
          </w:p>
        </w:tc>
      </w:tr>
    </w:tbl>
    <w:p w:rsidR="00862700" w:rsidRDefault="00862700">
      <w:pPr>
        <w:pStyle w:val="Standard"/>
      </w:pPr>
    </w:p>
    <w:p w:rsidR="00862700" w:rsidRDefault="005E2C24">
      <w:pPr>
        <w:pStyle w:val="Standard"/>
      </w:pPr>
      <w:r>
        <w:rPr>
          <w:rFonts w:ascii="Tahoma" w:hAnsi="Tahoma" w:cs="Tahoma"/>
          <w:b/>
        </w:rPr>
        <w:t>Impact des mesures sur les PE Hors classe</w:t>
      </w:r>
    </w:p>
    <w:p w:rsidR="00862700" w:rsidRDefault="00862700">
      <w:pPr>
        <w:pStyle w:val="Standard"/>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195"/>
        <w:gridCol w:w="1248"/>
        <w:gridCol w:w="1615"/>
        <w:gridCol w:w="2018"/>
        <w:gridCol w:w="1385"/>
      </w:tblGrid>
      <w:tr w:rsidR="00862700">
        <w:trPr>
          <w:trHeight w:val="2400"/>
        </w:trPr>
        <w:tc>
          <w:tcPr>
            <w:tcW w:w="1195"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Echelon PE HCl.</w:t>
            </w:r>
          </w:p>
        </w:tc>
        <w:tc>
          <w:tcPr>
            <w:tcW w:w="1248"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Baisse 2015  cotisation retraite Lebranchu</w:t>
            </w:r>
          </w:p>
        </w:tc>
        <w:tc>
          <w:tcPr>
            <w:tcW w:w="1615"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Hausse 2015 due aux réformes des retraites</w:t>
            </w:r>
          </w:p>
        </w:tc>
        <w:tc>
          <w:tcPr>
            <w:tcW w:w="2018"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Evolution globale 2015 salaires/cotisations retraites</w:t>
            </w:r>
          </w:p>
        </w:tc>
        <w:tc>
          <w:tcPr>
            <w:tcW w:w="1385" w:type="dxa"/>
            <w:tcBorders>
              <w:top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Gain/perte entre le 31 décembre 2014 et le 1</w:t>
            </w:r>
            <w:r w:rsidR="00AA7070">
              <w:rPr>
                <w:rFonts w:ascii="Tahoma" w:hAnsi="Tahoma" w:cs="Tahoma"/>
                <w:vertAlign w:val="superscript"/>
              </w:rPr>
              <w:t>er</w:t>
            </w:r>
            <w:r w:rsidR="00AA7070">
              <w:rPr>
                <w:rFonts w:ascii="Calibri" w:eastAsia="Times New Roman" w:hAnsi="Calibri" w:cs="Times New Roman"/>
                <w:color w:val="000000"/>
              </w:rPr>
              <w:t xml:space="preserve"> </w:t>
            </w:r>
            <w:r>
              <w:rPr>
                <w:rFonts w:ascii="Calibri" w:eastAsia="Times New Roman" w:hAnsi="Calibri" w:cs="Times New Roman"/>
                <w:color w:val="000000"/>
              </w:rPr>
              <w:t>janvier 2015 sur le salaire annuel</w:t>
            </w:r>
          </w:p>
        </w:tc>
      </w:tr>
      <w:tr w:rsidR="00862700">
        <w:trPr>
          <w:trHeight w:val="300"/>
        </w:trPr>
        <w:tc>
          <w:tcPr>
            <w:tcW w:w="119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lastRenderedPageBreak/>
              <w:t>4</w:t>
            </w:r>
          </w:p>
        </w:tc>
        <w:tc>
          <w:tcPr>
            <w:tcW w:w="124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w:t>
            </w:r>
          </w:p>
        </w:tc>
        <w:tc>
          <w:tcPr>
            <w:tcW w:w="161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+ 0,4%</w:t>
            </w:r>
          </w:p>
        </w:tc>
        <w:tc>
          <w:tcPr>
            <w:tcW w:w="201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-0,4%</w:t>
            </w:r>
          </w:p>
        </w:tc>
        <w:tc>
          <w:tcPr>
            <w:tcW w:w="138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-142,69</w:t>
            </w:r>
          </w:p>
        </w:tc>
      </w:tr>
      <w:tr w:rsidR="00862700">
        <w:trPr>
          <w:trHeight w:val="300"/>
        </w:trPr>
        <w:tc>
          <w:tcPr>
            <w:tcW w:w="1195"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5</w:t>
            </w:r>
          </w:p>
        </w:tc>
        <w:tc>
          <w:tcPr>
            <w:tcW w:w="124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w:t>
            </w:r>
          </w:p>
        </w:tc>
        <w:tc>
          <w:tcPr>
            <w:tcW w:w="1615"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+ 0,4%</w:t>
            </w:r>
          </w:p>
        </w:tc>
        <w:tc>
          <w:tcPr>
            <w:tcW w:w="201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-0,4%</w:t>
            </w:r>
          </w:p>
        </w:tc>
        <w:tc>
          <w:tcPr>
            <w:tcW w:w="1385"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-154,47</w:t>
            </w:r>
          </w:p>
        </w:tc>
      </w:tr>
      <w:tr w:rsidR="00862700">
        <w:trPr>
          <w:trHeight w:val="300"/>
        </w:trPr>
        <w:tc>
          <w:tcPr>
            <w:tcW w:w="119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6</w:t>
            </w:r>
          </w:p>
        </w:tc>
        <w:tc>
          <w:tcPr>
            <w:tcW w:w="124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w:t>
            </w:r>
          </w:p>
        </w:tc>
        <w:tc>
          <w:tcPr>
            <w:tcW w:w="161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+ 0,4%</w:t>
            </w:r>
          </w:p>
        </w:tc>
        <w:tc>
          <w:tcPr>
            <w:tcW w:w="201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-0,4%</w:t>
            </w:r>
          </w:p>
        </w:tc>
        <w:tc>
          <w:tcPr>
            <w:tcW w:w="138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-164,69</w:t>
            </w:r>
          </w:p>
        </w:tc>
      </w:tr>
      <w:tr w:rsidR="00862700">
        <w:trPr>
          <w:trHeight w:val="300"/>
        </w:trPr>
        <w:tc>
          <w:tcPr>
            <w:tcW w:w="1195"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7</w:t>
            </w:r>
          </w:p>
        </w:tc>
        <w:tc>
          <w:tcPr>
            <w:tcW w:w="124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w:t>
            </w:r>
          </w:p>
        </w:tc>
        <w:tc>
          <w:tcPr>
            <w:tcW w:w="1615"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+ 0,4%</w:t>
            </w:r>
          </w:p>
        </w:tc>
        <w:tc>
          <w:tcPr>
            <w:tcW w:w="201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-0,4%</w:t>
            </w:r>
          </w:p>
        </w:tc>
        <w:tc>
          <w:tcPr>
            <w:tcW w:w="1385"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-174,02</w:t>
            </w:r>
          </w:p>
        </w:tc>
      </w:tr>
    </w:tbl>
    <w:p w:rsidR="00862700" w:rsidRDefault="005E2C24">
      <w:pPr>
        <w:pStyle w:val="Standard"/>
      </w:pPr>
      <w:r>
        <w:rPr>
          <w:rFonts w:ascii="Calibri" w:eastAsia="Times New Roman" w:hAnsi="Calibri" w:cs="Times New Roman"/>
          <w:b/>
          <w:color w:val="000000"/>
          <w:sz w:val="28"/>
          <w:szCs w:val="28"/>
        </w:rPr>
        <w:t>Evolution jusqu’en 2020 des gains/pertes annuels par rapport au salaire du 31 décembre 2014</w:t>
      </w:r>
    </w:p>
    <w:p w:rsidR="00862700" w:rsidRDefault="005E2C24">
      <w:pPr>
        <w:pStyle w:val="Standard"/>
      </w:pPr>
      <w:r>
        <w:rPr>
          <w:rFonts w:ascii="Tahoma" w:hAnsi="Tahoma" w:cs="Tahoma"/>
        </w:rPr>
        <w:t>Ces tableaux montrent l’évolution de l’impact des mesures Lebranchu et des hausses de cotisations retraites actées jusqu’en 2020. Même pour les premiers échelons, la mesure Lebranchu s’annule en 2018 sous le poids de la hausse constante des cotisations retraites.</w:t>
      </w:r>
    </w:p>
    <w:p w:rsidR="00CB12BA" w:rsidRDefault="00CB12BA">
      <w:pPr>
        <w:pStyle w:val="Standard"/>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99"/>
        <w:gridCol w:w="1300"/>
        <w:gridCol w:w="1300"/>
        <w:gridCol w:w="1298"/>
        <w:gridCol w:w="1300"/>
        <w:gridCol w:w="1299"/>
        <w:gridCol w:w="1303"/>
      </w:tblGrid>
      <w:tr w:rsidR="00862700">
        <w:trPr>
          <w:trHeight w:val="2400"/>
        </w:trPr>
        <w:tc>
          <w:tcPr>
            <w:tcW w:w="1299"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Echelon PE</w:t>
            </w:r>
          </w:p>
        </w:tc>
        <w:tc>
          <w:tcPr>
            <w:tcW w:w="1300" w:type="dxa"/>
            <w:tcBorders>
              <w:top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Au 1er janvier 2015</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AA7070">
            <w:pPr>
              <w:pStyle w:val="Standard"/>
              <w:jc w:val="center"/>
            </w:pPr>
            <w:r>
              <w:rPr>
                <w:rFonts w:ascii="Calibri" w:eastAsia="Times New Roman" w:hAnsi="Calibri" w:cs="Times New Roman"/>
                <w:color w:val="000000"/>
              </w:rPr>
              <w:t>Au 1</w:t>
            </w:r>
            <w:r w:rsidR="00AA7070">
              <w:rPr>
                <w:rFonts w:ascii="Tahoma" w:hAnsi="Tahoma" w:cs="Tahoma"/>
                <w:vertAlign w:val="superscript"/>
              </w:rPr>
              <w:t>er</w:t>
            </w:r>
            <w:r w:rsidR="00AA7070">
              <w:rPr>
                <w:rFonts w:ascii="Calibri" w:eastAsia="Times New Roman" w:hAnsi="Calibri" w:cs="Times New Roman"/>
                <w:color w:val="000000"/>
              </w:rPr>
              <w:t xml:space="preserve"> </w:t>
            </w:r>
            <w:r>
              <w:rPr>
                <w:rFonts w:ascii="Calibri" w:eastAsia="Times New Roman" w:hAnsi="Calibri" w:cs="Times New Roman"/>
                <w:color w:val="000000"/>
              </w:rPr>
              <w:t>janvier 2016 (+0,4% cotisations retraites)</w:t>
            </w:r>
          </w:p>
        </w:tc>
        <w:tc>
          <w:tcPr>
            <w:tcW w:w="1298"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AA7070">
            <w:pPr>
              <w:pStyle w:val="Standard"/>
              <w:jc w:val="center"/>
            </w:pPr>
            <w:r>
              <w:rPr>
                <w:rFonts w:ascii="Calibri" w:eastAsia="Times New Roman" w:hAnsi="Calibri" w:cs="Times New Roman"/>
                <w:color w:val="000000"/>
              </w:rPr>
              <w:t>Au 1</w:t>
            </w:r>
            <w:r w:rsidR="00AA7070">
              <w:rPr>
                <w:rFonts w:ascii="Tahoma" w:hAnsi="Tahoma" w:cs="Tahoma"/>
                <w:vertAlign w:val="superscript"/>
              </w:rPr>
              <w:t>er</w:t>
            </w:r>
            <w:r w:rsidR="00AA7070">
              <w:rPr>
                <w:rFonts w:ascii="Calibri" w:eastAsia="Times New Roman" w:hAnsi="Calibri" w:cs="Times New Roman"/>
                <w:color w:val="000000"/>
              </w:rPr>
              <w:t xml:space="preserve"> </w:t>
            </w:r>
            <w:r>
              <w:rPr>
                <w:rFonts w:ascii="Calibri" w:eastAsia="Times New Roman" w:hAnsi="Calibri" w:cs="Times New Roman"/>
                <w:color w:val="000000"/>
              </w:rPr>
              <w:t>janvier 2017 (+0,35% cotisations retraites)</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AA7070">
            <w:pPr>
              <w:pStyle w:val="Standard"/>
              <w:jc w:val="center"/>
            </w:pPr>
            <w:r>
              <w:rPr>
                <w:rFonts w:ascii="Calibri" w:eastAsia="Times New Roman" w:hAnsi="Calibri" w:cs="Times New Roman"/>
                <w:color w:val="000000"/>
              </w:rPr>
              <w:t>Au 1</w:t>
            </w:r>
            <w:r w:rsidR="00AA7070">
              <w:rPr>
                <w:rFonts w:ascii="Tahoma" w:hAnsi="Tahoma" w:cs="Tahoma"/>
                <w:vertAlign w:val="superscript"/>
              </w:rPr>
              <w:t>er</w:t>
            </w:r>
            <w:r w:rsidR="00AA7070">
              <w:rPr>
                <w:rFonts w:ascii="Calibri" w:eastAsia="Times New Roman" w:hAnsi="Calibri" w:cs="Times New Roman"/>
                <w:color w:val="000000"/>
              </w:rPr>
              <w:t xml:space="preserve"> </w:t>
            </w:r>
            <w:r>
              <w:rPr>
                <w:rFonts w:ascii="Calibri" w:eastAsia="Times New Roman" w:hAnsi="Calibri" w:cs="Times New Roman"/>
                <w:color w:val="000000"/>
              </w:rPr>
              <w:t>janvier 2018 (+0,27% cotisations retraites)</w:t>
            </w:r>
          </w:p>
        </w:tc>
        <w:tc>
          <w:tcPr>
            <w:tcW w:w="1299"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AA7070">
            <w:pPr>
              <w:pStyle w:val="Standard"/>
              <w:jc w:val="center"/>
            </w:pPr>
            <w:r>
              <w:rPr>
                <w:rFonts w:ascii="Calibri" w:eastAsia="Times New Roman" w:hAnsi="Calibri" w:cs="Times New Roman"/>
                <w:color w:val="000000"/>
              </w:rPr>
              <w:t>Au 1</w:t>
            </w:r>
            <w:r w:rsidR="00AA7070">
              <w:rPr>
                <w:rFonts w:ascii="Tahoma" w:hAnsi="Tahoma" w:cs="Tahoma"/>
                <w:vertAlign w:val="superscript"/>
              </w:rPr>
              <w:t>er</w:t>
            </w:r>
            <w:r w:rsidR="00AA7070">
              <w:rPr>
                <w:rFonts w:ascii="Calibri" w:eastAsia="Times New Roman" w:hAnsi="Calibri" w:cs="Times New Roman"/>
                <w:color w:val="000000"/>
              </w:rPr>
              <w:t xml:space="preserve"> </w:t>
            </w:r>
            <w:r>
              <w:rPr>
                <w:rFonts w:ascii="Calibri" w:eastAsia="Times New Roman" w:hAnsi="Calibri" w:cs="Times New Roman"/>
                <w:color w:val="000000"/>
              </w:rPr>
              <w:t>janvier 2019 (+0,27% cotisations retraites)</w:t>
            </w:r>
          </w:p>
        </w:tc>
        <w:tc>
          <w:tcPr>
            <w:tcW w:w="1303"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AA7070">
            <w:pPr>
              <w:pStyle w:val="Standard"/>
              <w:jc w:val="center"/>
            </w:pPr>
            <w:r>
              <w:rPr>
                <w:rFonts w:ascii="Calibri" w:eastAsia="Times New Roman" w:hAnsi="Calibri" w:cs="Times New Roman"/>
                <w:color w:val="000000"/>
              </w:rPr>
              <w:t>Au 1</w:t>
            </w:r>
            <w:r w:rsidR="00AA7070">
              <w:rPr>
                <w:rFonts w:ascii="Tahoma" w:hAnsi="Tahoma" w:cs="Tahoma"/>
                <w:vertAlign w:val="superscript"/>
              </w:rPr>
              <w:t>er</w:t>
            </w:r>
            <w:r>
              <w:rPr>
                <w:rFonts w:ascii="Calibri" w:eastAsia="Times New Roman" w:hAnsi="Calibri" w:cs="Times New Roman"/>
                <w:color w:val="000000"/>
              </w:rPr>
              <w:t xml:space="preserve"> janvier 2020 (+0,27% cotisations retraites)</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+ 193,92</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+ 116,35</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+ 48,48</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-3,88</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-56,24</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-108,59</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2</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+ 125,35</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+ 41,78</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-31,34</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-87,75</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-144,15</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-200,56</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3</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+ 48,01</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-48,01</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-132,02</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-196,83</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-261,64</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-326,45</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4</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+ 24,73</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-74,18</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-160,72</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-227,48</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-294,24</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-361,00</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5</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- 50,90</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-152,69</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-241,76</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-310,47</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-379,18</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-447,89</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6</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-103,79</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-207,59</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-298,40</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-368,46</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-438,52</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-508,58</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7</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-110,02</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-220,03</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-316,30</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-390,56</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-464,82</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-539,08</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8</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-118,02</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-236,03</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-339,30</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-418,96</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-498,62</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-578,28</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9</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-126,02</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-252,04</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-362,30</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-447,36</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-532,43</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-617,49</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10</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-136,02</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-272,04</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-391,06</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-482,87</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-574,68</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-666,50</w:t>
            </w:r>
          </w:p>
        </w:tc>
      </w:tr>
      <w:tr w:rsidR="00862700">
        <w:trPr>
          <w:trHeight w:val="32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11</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-146,24</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-292,49</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-420,45</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-519,16</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-617,88</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-716,59</w:t>
            </w:r>
          </w:p>
        </w:tc>
      </w:tr>
    </w:tbl>
    <w:p w:rsidR="00CB12BA" w:rsidRDefault="00CB12BA">
      <w:pPr>
        <w:pStyle w:val="Standard"/>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99"/>
        <w:gridCol w:w="1300"/>
        <w:gridCol w:w="1300"/>
        <w:gridCol w:w="1298"/>
        <w:gridCol w:w="1300"/>
        <w:gridCol w:w="1299"/>
        <w:gridCol w:w="1303"/>
      </w:tblGrid>
      <w:tr w:rsidR="00862700">
        <w:trPr>
          <w:trHeight w:val="2400"/>
        </w:trPr>
        <w:tc>
          <w:tcPr>
            <w:tcW w:w="1299"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lastRenderedPageBreak/>
              <w:t>Echelon Instit</w:t>
            </w:r>
          </w:p>
        </w:tc>
        <w:tc>
          <w:tcPr>
            <w:tcW w:w="1300" w:type="dxa"/>
            <w:tcBorders>
              <w:top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Au 1er janvier 2015</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BA3B0B">
            <w:pPr>
              <w:pStyle w:val="Standard"/>
              <w:jc w:val="center"/>
            </w:pPr>
            <w:r>
              <w:rPr>
                <w:rFonts w:ascii="Calibri" w:eastAsia="Times New Roman" w:hAnsi="Calibri" w:cs="Times New Roman"/>
                <w:color w:val="000000"/>
              </w:rPr>
              <w:t>Au 1</w:t>
            </w:r>
            <w:r w:rsidR="00BA3B0B">
              <w:rPr>
                <w:rFonts w:ascii="Tahoma" w:hAnsi="Tahoma" w:cs="Tahoma"/>
                <w:vertAlign w:val="superscript"/>
              </w:rPr>
              <w:t>er</w:t>
            </w:r>
            <w:r>
              <w:rPr>
                <w:rFonts w:ascii="Calibri" w:eastAsia="Times New Roman" w:hAnsi="Calibri" w:cs="Times New Roman"/>
                <w:color w:val="000000"/>
              </w:rPr>
              <w:t xml:space="preserve"> janvier 2016 (+0,4% cotisations retraites)</w:t>
            </w:r>
          </w:p>
        </w:tc>
        <w:tc>
          <w:tcPr>
            <w:tcW w:w="1298"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BA3B0B">
            <w:pPr>
              <w:pStyle w:val="Standard"/>
              <w:jc w:val="center"/>
            </w:pPr>
            <w:r>
              <w:rPr>
                <w:rFonts w:ascii="Calibri" w:eastAsia="Times New Roman" w:hAnsi="Calibri" w:cs="Times New Roman"/>
                <w:color w:val="000000"/>
              </w:rPr>
              <w:t>Au 1</w:t>
            </w:r>
            <w:r w:rsidR="00BA3B0B">
              <w:rPr>
                <w:rFonts w:ascii="Tahoma" w:hAnsi="Tahoma" w:cs="Tahoma"/>
                <w:vertAlign w:val="superscript"/>
              </w:rPr>
              <w:t>er</w:t>
            </w:r>
            <w:r>
              <w:rPr>
                <w:rFonts w:ascii="Calibri" w:eastAsia="Times New Roman" w:hAnsi="Calibri" w:cs="Times New Roman"/>
                <w:color w:val="000000"/>
              </w:rPr>
              <w:t xml:space="preserve"> janvier 2017 (+0,35% cotisations retraites)</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BA3B0B">
            <w:pPr>
              <w:pStyle w:val="Standard"/>
              <w:jc w:val="center"/>
            </w:pPr>
            <w:r>
              <w:rPr>
                <w:rFonts w:ascii="Calibri" w:eastAsia="Times New Roman" w:hAnsi="Calibri" w:cs="Times New Roman"/>
                <w:color w:val="000000"/>
              </w:rPr>
              <w:t>Au 1</w:t>
            </w:r>
            <w:r w:rsidR="00BA3B0B">
              <w:rPr>
                <w:rFonts w:ascii="Tahoma" w:hAnsi="Tahoma" w:cs="Tahoma"/>
                <w:vertAlign w:val="superscript"/>
              </w:rPr>
              <w:t>er</w:t>
            </w:r>
            <w:r w:rsidR="00BA3B0B">
              <w:rPr>
                <w:rFonts w:ascii="Calibri" w:eastAsia="Times New Roman" w:hAnsi="Calibri" w:cs="Times New Roman"/>
                <w:color w:val="000000"/>
              </w:rPr>
              <w:t xml:space="preserve"> </w:t>
            </w:r>
            <w:r>
              <w:rPr>
                <w:rFonts w:ascii="Calibri" w:eastAsia="Times New Roman" w:hAnsi="Calibri" w:cs="Times New Roman"/>
                <w:color w:val="000000"/>
              </w:rPr>
              <w:t>janvier 2018 (+0,27% cotisations retraites)</w:t>
            </w:r>
          </w:p>
        </w:tc>
        <w:tc>
          <w:tcPr>
            <w:tcW w:w="1299"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BA3B0B">
            <w:pPr>
              <w:pStyle w:val="Standard"/>
              <w:jc w:val="center"/>
            </w:pPr>
            <w:r>
              <w:rPr>
                <w:rFonts w:ascii="Calibri" w:eastAsia="Times New Roman" w:hAnsi="Calibri" w:cs="Times New Roman"/>
                <w:color w:val="000000"/>
              </w:rPr>
              <w:t>Au 1</w:t>
            </w:r>
            <w:r w:rsidR="00BA3B0B">
              <w:rPr>
                <w:rFonts w:ascii="Tahoma" w:hAnsi="Tahoma" w:cs="Tahoma"/>
                <w:vertAlign w:val="superscript"/>
              </w:rPr>
              <w:t>er</w:t>
            </w:r>
            <w:r w:rsidR="00BA3B0B">
              <w:rPr>
                <w:rFonts w:ascii="Calibri" w:eastAsia="Times New Roman" w:hAnsi="Calibri" w:cs="Times New Roman"/>
                <w:color w:val="000000"/>
              </w:rPr>
              <w:t xml:space="preserve"> </w:t>
            </w:r>
            <w:r>
              <w:rPr>
                <w:rFonts w:ascii="Calibri" w:eastAsia="Times New Roman" w:hAnsi="Calibri" w:cs="Times New Roman"/>
                <w:color w:val="000000"/>
              </w:rPr>
              <w:t>janvier 2019 (+0,27% cotisations retraites)</w:t>
            </w:r>
          </w:p>
        </w:tc>
        <w:tc>
          <w:tcPr>
            <w:tcW w:w="1303"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BA3B0B">
            <w:pPr>
              <w:pStyle w:val="Standard"/>
              <w:jc w:val="center"/>
            </w:pPr>
            <w:r>
              <w:rPr>
                <w:rFonts w:ascii="Calibri" w:eastAsia="Times New Roman" w:hAnsi="Calibri" w:cs="Times New Roman"/>
                <w:color w:val="000000"/>
              </w:rPr>
              <w:t>Au 1</w:t>
            </w:r>
            <w:r w:rsidR="00BA3B0B">
              <w:rPr>
                <w:rFonts w:ascii="Tahoma" w:hAnsi="Tahoma" w:cs="Tahoma"/>
                <w:vertAlign w:val="superscript"/>
              </w:rPr>
              <w:t>er</w:t>
            </w:r>
            <w:r>
              <w:rPr>
                <w:rFonts w:ascii="Calibri" w:eastAsia="Times New Roman" w:hAnsi="Calibri" w:cs="Times New Roman"/>
                <w:color w:val="000000"/>
              </w:rPr>
              <w:t xml:space="preserve"> janvier 2020 (+0,27% cotisations retraites)</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+ 227,37</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+ 151,58</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+ 85,26</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- 34,10</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-17,05</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-68,21</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2</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+ 198,36</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+ 119,02</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- 49,59</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-3,97</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-57,52</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-111,08</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3</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+ 162,69</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- 81,34</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- 10,17</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-44,74</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-99,65</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-154,56</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4</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8000"/>
              </w:rPr>
              <w:t>+ 124,35</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- 41,45</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-31,09</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-87,05</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-143,00</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-198,96</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5</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- 127,68</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- 42,56</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-31,92</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-89,38</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-146,84</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-204,30</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6</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- 86,68</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0,00</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-75,84</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-134,35</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-192,86</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-251,37</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7</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- 88,68</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0,00</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-77,59</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-137,45</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-197,31</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-257,17</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8</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- 70,01</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-23,34</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-105,02</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-168,02</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-231,03</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-294,04</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9</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- 24,50</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-73,51</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-159,27</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-225,43</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-291,59</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-357,75</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10</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-104,24</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-208,47</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-299,68</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-370,04</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-440,40</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-510,76</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11</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-114,46</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-228,92</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-329,07</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-406,34</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-483,60</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-560,86</w:t>
            </w:r>
          </w:p>
        </w:tc>
      </w:tr>
    </w:tbl>
    <w:p w:rsidR="00862700" w:rsidRDefault="00862700">
      <w:pPr>
        <w:pStyle w:val="Standard"/>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299"/>
        <w:gridCol w:w="1300"/>
        <w:gridCol w:w="1300"/>
        <w:gridCol w:w="1298"/>
        <w:gridCol w:w="1300"/>
        <w:gridCol w:w="1299"/>
        <w:gridCol w:w="1303"/>
      </w:tblGrid>
      <w:tr w:rsidR="00862700">
        <w:trPr>
          <w:trHeight w:val="2400"/>
        </w:trPr>
        <w:tc>
          <w:tcPr>
            <w:tcW w:w="1299" w:type="dxa"/>
            <w:tcBorders>
              <w:top w:val="single" w:sz="4" w:space="0" w:color="00000A"/>
              <w:left w:val="single" w:sz="4" w:space="0" w:color="00000A"/>
              <w:bottom w:val="single" w:sz="4" w:space="0" w:color="00000A"/>
              <w:right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Echelon PE HCl.</w:t>
            </w:r>
          </w:p>
        </w:tc>
        <w:tc>
          <w:tcPr>
            <w:tcW w:w="1300" w:type="dxa"/>
            <w:tcBorders>
              <w:top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color w:val="000000"/>
              </w:rPr>
              <w:t>Au 1er janvier 2015</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D80EEB">
            <w:pPr>
              <w:pStyle w:val="Standard"/>
              <w:jc w:val="center"/>
            </w:pPr>
            <w:r>
              <w:rPr>
                <w:rFonts w:ascii="Calibri" w:eastAsia="Times New Roman" w:hAnsi="Calibri" w:cs="Times New Roman"/>
                <w:color w:val="000000"/>
              </w:rPr>
              <w:t>Au 1</w:t>
            </w:r>
            <w:r w:rsidR="00D80EEB">
              <w:rPr>
                <w:rFonts w:ascii="Tahoma" w:hAnsi="Tahoma" w:cs="Tahoma"/>
                <w:vertAlign w:val="superscript"/>
              </w:rPr>
              <w:t>er</w:t>
            </w:r>
            <w:r w:rsidR="00D80EEB">
              <w:rPr>
                <w:rFonts w:ascii="Calibri" w:eastAsia="Times New Roman" w:hAnsi="Calibri" w:cs="Times New Roman"/>
                <w:color w:val="000000"/>
              </w:rPr>
              <w:t xml:space="preserve"> </w:t>
            </w:r>
            <w:r>
              <w:rPr>
                <w:rFonts w:ascii="Calibri" w:eastAsia="Times New Roman" w:hAnsi="Calibri" w:cs="Times New Roman"/>
                <w:color w:val="000000"/>
              </w:rPr>
              <w:t>janvier 2016 (+0,4% cotisations retraites)</w:t>
            </w:r>
          </w:p>
        </w:tc>
        <w:tc>
          <w:tcPr>
            <w:tcW w:w="1298"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D80EEB">
            <w:pPr>
              <w:pStyle w:val="Standard"/>
              <w:jc w:val="center"/>
            </w:pPr>
            <w:r>
              <w:rPr>
                <w:rFonts w:ascii="Calibri" w:eastAsia="Times New Roman" w:hAnsi="Calibri" w:cs="Times New Roman"/>
                <w:color w:val="000000"/>
              </w:rPr>
              <w:t>Au 1</w:t>
            </w:r>
            <w:r w:rsidR="00D80EEB">
              <w:rPr>
                <w:rFonts w:ascii="Tahoma" w:hAnsi="Tahoma" w:cs="Tahoma"/>
                <w:vertAlign w:val="superscript"/>
              </w:rPr>
              <w:t>er</w:t>
            </w:r>
            <w:r>
              <w:rPr>
                <w:rFonts w:ascii="Calibri" w:eastAsia="Times New Roman" w:hAnsi="Calibri" w:cs="Times New Roman"/>
                <w:color w:val="000000"/>
              </w:rPr>
              <w:t xml:space="preserve"> janvier 2017 (+0,35% cotisations retraites)</w:t>
            </w:r>
          </w:p>
        </w:tc>
        <w:tc>
          <w:tcPr>
            <w:tcW w:w="1300"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D80EEB">
            <w:pPr>
              <w:pStyle w:val="Standard"/>
              <w:jc w:val="center"/>
            </w:pPr>
            <w:r>
              <w:rPr>
                <w:rFonts w:ascii="Calibri" w:eastAsia="Times New Roman" w:hAnsi="Calibri" w:cs="Times New Roman"/>
                <w:color w:val="000000"/>
              </w:rPr>
              <w:t>Au 1</w:t>
            </w:r>
            <w:r w:rsidR="00D80EEB">
              <w:rPr>
                <w:rFonts w:ascii="Tahoma" w:hAnsi="Tahoma" w:cs="Tahoma"/>
                <w:vertAlign w:val="superscript"/>
              </w:rPr>
              <w:t>er</w:t>
            </w:r>
            <w:r w:rsidR="00D80EEB">
              <w:rPr>
                <w:rFonts w:ascii="Calibri" w:eastAsia="Times New Roman" w:hAnsi="Calibri" w:cs="Times New Roman"/>
                <w:color w:val="000000"/>
              </w:rPr>
              <w:t xml:space="preserve"> </w:t>
            </w:r>
            <w:r>
              <w:rPr>
                <w:rFonts w:ascii="Calibri" w:eastAsia="Times New Roman" w:hAnsi="Calibri" w:cs="Times New Roman"/>
                <w:color w:val="000000"/>
              </w:rPr>
              <w:t>janvier 2018 (+0,27% cotisations retraites)</w:t>
            </w:r>
          </w:p>
        </w:tc>
        <w:tc>
          <w:tcPr>
            <w:tcW w:w="1299"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D80EEB">
            <w:pPr>
              <w:pStyle w:val="Standard"/>
              <w:jc w:val="center"/>
            </w:pPr>
            <w:r>
              <w:rPr>
                <w:rFonts w:ascii="Calibri" w:eastAsia="Times New Roman" w:hAnsi="Calibri" w:cs="Times New Roman"/>
                <w:color w:val="000000"/>
              </w:rPr>
              <w:t>Au 1</w:t>
            </w:r>
            <w:r w:rsidR="00D80EEB">
              <w:rPr>
                <w:rFonts w:ascii="Tahoma" w:hAnsi="Tahoma" w:cs="Tahoma"/>
                <w:vertAlign w:val="superscript"/>
              </w:rPr>
              <w:t>er</w:t>
            </w:r>
            <w:r w:rsidR="00D80EEB">
              <w:rPr>
                <w:rFonts w:ascii="Calibri" w:eastAsia="Times New Roman" w:hAnsi="Calibri" w:cs="Times New Roman"/>
                <w:color w:val="000000"/>
              </w:rPr>
              <w:t xml:space="preserve"> </w:t>
            </w:r>
            <w:r>
              <w:rPr>
                <w:rFonts w:ascii="Calibri" w:eastAsia="Times New Roman" w:hAnsi="Calibri" w:cs="Times New Roman"/>
                <w:color w:val="000000"/>
              </w:rPr>
              <w:t>janvier 2019 (+0,27% cotisations retraites)</w:t>
            </w:r>
          </w:p>
        </w:tc>
        <w:tc>
          <w:tcPr>
            <w:tcW w:w="1303" w:type="dxa"/>
            <w:tcBorders>
              <w:top w:val="single" w:sz="4" w:space="0" w:color="00000A"/>
              <w:left w:val="single" w:sz="4" w:space="0" w:color="00000A"/>
              <w:bottom w:val="single" w:sz="4" w:space="0" w:color="00000A"/>
            </w:tcBorders>
            <w:shd w:val="clear" w:color="auto" w:fill="FABF8F"/>
            <w:tcMar>
              <w:top w:w="0" w:type="dxa"/>
              <w:left w:w="70" w:type="dxa"/>
              <w:bottom w:w="0" w:type="dxa"/>
              <w:right w:w="70" w:type="dxa"/>
            </w:tcMar>
            <w:vAlign w:val="center"/>
          </w:tcPr>
          <w:p w:rsidR="00862700" w:rsidRDefault="005E2C24" w:rsidP="00D80EEB">
            <w:pPr>
              <w:pStyle w:val="Standard"/>
              <w:jc w:val="center"/>
            </w:pPr>
            <w:r>
              <w:rPr>
                <w:rFonts w:ascii="Calibri" w:eastAsia="Times New Roman" w:hAnsi="Calibri" w:cs="Times New Roman"/>
                <w:color w:val="000000"/>
              </w:rPr>
              <w:t>Au 1</w:t>
            </w:r>
            <w:bookmarkStart w:id="0" w:name="_GoBack"/>
            <w:bookmarkEnd w:id="0"/>
            <w:r w:rsidR="00D80EEB">
              <w:rPr>
                <w:rFonts w:ascii="Tahoma" w:hAnsi="Tahoma" w:cs="Tahoma"/>
                <w:vertAlign w:val="superscript"/>
              </w:rPr>
              <w:t>er</w:t>
            </w:r>
            <w:r>
              <w:rPr>
                <w:rFonts w:ascii="Calibri" w:eastAsia="Times New Roman" w:hAnsi="Calibri" w:cs="Times New Roman"/>
                <w:color w:val="000000"/>
              </w:rPr>
              <w:t xml:space="preserve"> janvier 2020 (+0,27% cotisations retraites)</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4</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-142,69</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-285,37</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-410,23</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-506,54</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-602,85</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-699,17</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5</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-154,47</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-308,93</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-444,09</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-548,36</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-652,62</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-756,89</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6</w:t>
            </w:r>
          </w:p>
        </w:tc>
        <w:tc>
          <w:tcPr>
            <w:tcW w:w="1300" w:type="dxa"/>
            <w:tcBorders>
              <w:bottom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-164,69</w:t>
            </w:r>
          </w:p>
        </w:tc>
        <w:tc>
          <w:tcPr>
            <w:tcW w:w="1300"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-329,38</w:t>
            </w:r>
          </w:p>
        </w:tc>
        <w:tc>
          <w:tcPr>
            <w:tcW w:w="129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-473,48</w:t>
            </w:r>
          </w:p>
        </w:tc>
        <w:tc>
          <w:tcPr>
            <w:tcW w:w="130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-584,65</w:t>
            </w:r>
          </w:p>
        </w:tc>
        <w:tc>
          <w:tcPr>
            <w:tcW w:w="129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-695,82</w:t>
            </w:r>
          </w:p>
        </w:tc>
        <w:tc>
          <w:tcPr>
            <w:tcW w:w="130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-806,98</w:t>
            </w:r>
          </w:p>
        </w:tc>
      </w:tr>
      <w:tr w:rsidR="00862700">
        <w:trPr>
          <w:trHeight w:val="300"/>
        </w:trPr>
        <w:tc>
          <w:tcPr>
            <w:tcW w:w="1299"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000000"/>
              </w:rPr>
              <w:t>7</w:t>
            </w:r>
          </w:p>
        </w:tc>
        <w:tc>
          <w:tcPr>
            <w:tcW w:w="1300" w:type="dxa"/>
            <w:tcBorders>
              <w:bottom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-174,02</w:t>
            </w:r>
          </w:p>
        </w:tc>
        <w:tc>
          <w:tcPr>
            <w:tcW w:w="1300" w:type="dxa"/>
            <w:tcBorders>
              <w:left w:val="single" w:sz="4" w:space="0" w:color="00000A"/>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-348,05</w:t>
            </w:r>
          </w:p>
        </w:tc>
        <w:tc>
          <w:tcPr>
            <w:tcW w:w="1298"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-500,32</w:t>
            </w:r>
          </w:p>
        </w:tc>
        <w:tc>
          <w:tcPr>
            <w:tcW w:w="1300"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-617,79</w:t>
            </w:r>
          </w:p>
        </w:tc>
        <w:tc>
          <w:tcPr>
            <w:tcW w:w="1299"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-735,26</w:t>
            </w:r>
          </w:p>
        </w:tc>
        <w:tc>
          <w:tcPr>
            <w:tcW w:w="1303" w:type="dxa"/>
            <w:tcBorders>
              <w:bottom w:val="single" w:sz="4" w:space="0" w:color="00000A"/>
              <w:right w:val="single" w:sz="4" w:space="0" w:color="00000A"/>
            </w:tcBorders>
            <w:shd w:val="clear" w:color="auto" w:fill="FDE9D9"/>
            <w:tcMar>
              <w:top w:w="0" w:type="dxa"/>
              <w:left w:w="70" w:type="dxa"/>
              <w:bottom w:w="0" w:type="dxa"/>
              <w:right w:w="70" w:type="dxa"/>
            </w:tcMar>
            <w:vAlign w:val="center"/>
          </w:tcPr>
          <w:p w:rsidR="00862700" w:rsidRDefault="005E2C24">
            <w:pPr>
              <w:pStyle w:val="Standard"/>
              <w:jc w:val="center"/>
            </w:pPr>
            <w:r>
              <w:rPr>
                <w:rFonts w:ascii="Calibri" w:eastAsia="Times New Roman" w:hAnsi="Calibri" w:cs="Times New Roman"/>
                <w:b/>
                <w:bCs/>
                <w:color w:val="FF0000"/>
              </w:rPr>
              <w:t>-852,72</w:t>
            </w:r>
          </w:p>
        </w:tc>
      </w:tr>
    </w:tbl>
    <w:p w:rsidR="00190832" w:rsidRPr="00190832" w:rsidRDefault="00190832" w:rsidP="00190832">
      <w:pPr>
        <w:pStyle w:val="Standard"/>
        <w:jc w:val="right"/>
        <w:rPr>
          <w:b/>
          <w:i/>
          <w:sz w:val="28"/>
          <w:szCs w:val="28"/>
        </w:rPr>
      </w:pPr>
    </w:p>
    <w:sectPr w:rsidR="00190832" w:rsidRPr="00190832" w:rsidSect="00E24CE1">
      <w:pgSz w:w="11906" w:h="16838"/>
      <w:pgMar w:top="1417" w:right="1417" w:bottom="1417"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862700"/>
    <w:rsid w:val="00190832"/>
    <w:rsid w:val="002805B4"/>
    <w:rsid w:val="005432F9"/>
    <w:rsid w:val="005E2C24"/>
    <w:rsid w:val="00615CE2"/>
    <w:rsid w:val="00764C1B"/>
    <w:rsid w:val="00862700"/>
    <w:rsid w:val="00886041"/>
    <w:rsid w:val="00AA7070"/>
    <w:rsid w:val="00BA3B0B"/>
    <w:rsid w:val="00CB12BA"/>
    <w:rsid w:val="00D80EEB"/>
    <w:rsid w:val="00E24CE1"/>
    <w:rsid w:val="00E87066"/>
    <w:rsid w:val="00FA3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24CE1"/>
    <w:pPr>
      <w:tabs>
        <w:tab w:val="left" w:pos="708"/>
      </w:tabs>
      <w:suppressAutoHyphens/>
    </w:pPr>
    <w:rPr>
      <w:rFonts w:ascii="Cambria" w:eastAsia="SimSun" w:hAnsi="Cambria"/>
      <w:sz w:val="24"/>
      <w:szCs w:val="24"/>
    </w:rPr>
  </w:style>
  <w:style w:type="paragraph" w:styleId="Titre">
    <w:name w:val="Title"/>
    <w:basedOn w:val="Standard"/>
    <w:next w:val="Corpsdetexte"/>
    <w:rsid w:val="00E24CE1"/>
    <w:pPr>
      <w:keepNext/>
      <w:spacing w:before="240" w:after="120"/>
    </w:pPr>
    <w:rPr>
      <w:rFonts w:ascii="Arial" w:eastAsia="Microsoft YaHei" w:hAnsi="Arial" w:cs="Mangal"/>
      <w:sz w:val="28"/>
      <w:szCs w:val="28"/>
    </w:rPr>
  </w:style>
  <w:style w:type="paragraph" w:styleId="Corpsdetexte">
    <w:name w:val="Body Text"/>
    <w:basedOn w:val="Standard"/>
    <w:rsid w:val="00E24CE1"/>
    <w:pPr>
      <w:spacing w:after="120"/>
    </w:pPr>
  </w:style>
  <w:style w:type="paragraph" w:styleId="Liste">
    <w:name w:val="List"/>
    <w:basedOn w:val="Corpsdetexte"/>
    <w:rsid w:val="00E24CE1"/>
    <w:rPr>
      <w:rFonts w:cs="Mangal"/>
    </w:rPr>
  </w:style>
  <w:style w:type="paragraph" w:styleId="Lgende">
    <w:name w:val="caption"/>
    <w:basedOn w:val="Standard"/>
    <w:rsid w:val="00E24CE1"/>
    <w:pPr>
      <w:suppressLineNumbers/>
      <w:spacing w:before="120" w:after="120"/>
    </w:pPr>
    <w:rPr>
      <w:rFonts w:cs="Mangal"/>
      <w:i/>
      <w:iCs/>
    </w:rPr>
  </w:style>
  <w:style w:type="paragraph" w:customStyle="1" w:styleId="Index">
    <w:name w:val="Index"/>
    <w:basedOn w:val="Standard"/>
    <w:rsid w:val="00E24CE1"/>
    <w:pPr>
      <w:suppressLineNumbers/>
    </w:pPr>
    <w:rPr>
      <w:rFonts w:cs="Mangal"/>
    </w:rPr>
  </w:style>
  <w:style w:type="paragraph" w:styleId="Textedebulles">
    <w:name w:val="Balloon Text"/>
    <w:basedOn w:val="Normal"/>
    <w:link w:val="TextedebullesCar"/>
    <w:uiPriority w:val="99"/>
    <w:semiHidden/>
    <w:unhideWhenUsed/>
    <w:rsid w:val="00CB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mbria" w:eastAsia="SimSun" w:hAnsi="Cambria"/>
      <w:sz w:val="24"/>
      <w:szCs w:val="24"/>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xtedebulles">
    <w:name w:val="Balloon Text"/>
    <w:basedOn w:val="Normal"/>
    <w:link w:val="TextedebullesCar"/>
    <w:uiPriority w:val="99"/>
    <w:semiHidden/>
    <w:unhideWhenUsed/>
    <w:rsid w:val="00CB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042347">
      <w:bodyDiv w:val="1"/>
      <w:marLeft w:val="0"/>
      <w:marRight w:val="0"/>
      <w:marTop w:val="0"/>
      <w:marBottom w:val="0"/>
      <w:divBdr>
        <w:top w:val="none" w:sz="0" w:space="0" w:color="auto"/>
        <w:left w:val="none" w:sz="0" w:space="0" w:color="auto"/>
        <w:bottom w:val="none" w:sz="0" w:space="0" w:color="auto"/>
        <w:right w:val="none" w:sz="0" w:space="0" w:color="auto"/>
      </w:divBdr>
    </w:div>
    <w:div w:id="202227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Malaisé</dc:creator>
  <cp:lastModifiedBy>SNUipp</cp:lastModifiedBy>
  <cp:revision>3</cp:revision>
  <cp:lastPrinted>2014-06-18T07:13:00Z</cp:lastPrinted>
  <dcterms:created xsi:type="dcterms:W3CDTF">2014-06-19T07:49:00Z</dcterms:created>
  <dcterms:modified xsi:type="dcterms:W3CDTF">2014-06-19T07:51:00Z</dcterms:modified>
</cp:coreProperties>
</file>